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XIII TORNEO RAMÓN BABE CLUB DE CAMPO DE VIGO del 16 al 23 de Julio de 2016.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CATEGORÍAS 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  <w:t xml:space="preserve">Masculino: 1ª, 2ª y +50 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  <w:t xml:space="preserve">Femenino: 1ª y 2ª 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  <w:t xml:space="preserve">Mixto 1ª y 2ª 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  <w:t xml:space="preserve">Menores de 18 años 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  <w:t xml:space="preserve">Consolación en todas las categorías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PREMIOS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  <w:t xml:space="preserve">Vale por 200 € pareja en material deportivo a los campeones de 1ª categoría masculina y femenina.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Inscripción: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Socios: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  <w:t xml:space="preserve">15 € jugador. 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  <w:t xml:space="preserve">Menores 5 €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No socios: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  <w:t xml:space="preserve">20 € jugador. 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  <w:t xml:space="preserve">Menores 10 €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Regalo conmemorativo del torneo para todos los participantes.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JUEZ ARBITRO: Javier Raposeiras Iñarrea.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Se recomienda asistir 15 minutos antes del encuentro, para formalizar la inscripción, donde se entregará el obsequio del torneo.</w:t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Cualquier incidencia para cambios de horarios serán realizados en el teléfono 669 813 550, también disponible WhatsApp.</w:t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Los cambios siempre tienen que ser consentidos por el juez arbitro del torneo.</w:t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Los horarios marcan la hora prevista de inicio, pero debido a que la duración de los partidos anteriores no es exacta se pueden sufrir leves retrasos.</w:t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Todos los encuentros se disputarán al mejor de 3 sets todos con tiebreak.</w:t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Cuando los 4 componentes del encuentro se encuentren en la instalación se les asignará el orden de juego.</w:t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La pista y el orden será indicado por el juez arbitro, bajo su criterio.</w:t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En pista solo se permitirán 5 minutos de calentamiento.</w:t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LOS HORARIOS NO SERÁN DEFINITIVOS HASTA QUE NO SE JUEGUE EL PARTIDO DE LA RONDA ANTERIOR.</w:t>
        <w:br w:type="textWrapping"/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